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53E6" w14:textId="3B986A4F" w:rsidR="00884481" w:rsidRDefault="00884481" w:rsidP="00884481">
      <w:pPr>
        <w:rPr>
          <w:rFonts w:ascii="Calibri" w:hAnsi="Calibri" w:cs="Calibri"/>
          <w:sz w:val="28"/>
          <w:szCs w:val="28"/>
        </w:rPr>
      </w:pPr>
      <w:r>
        <w:rPr>
          <w:b/>
          <w:bCs/>
          <w:noProof/>
          <w:sz w:val="36"/>
          <w:szCs w:val="36"/>
        </w:rPr>
        <w:drawing>
          <wp:inline distT="0" distB="0" distL="0" distR="0" wp14:anchorId="613324AD" wp14:editId="0212E1BC">
            <wp:extent cx="2419350" cy="1655707"/>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_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451" cy="1663304"/>
                    </a:xfrm>
                    <a:prstGeom prst="rect">
                      <a:avLst/>
                    </a:prstGeom>
                  </pic:spPr>
                </pic:pic>
              </a:graphicData>
            </a:graphic>
          </wp:inline>
        </w:drawing>
      </w:r>
    </w:p>
    <w:p w14:paraId="4B9E731C" w14:textId="78E59C30" w:rsidR="00E6355C" w:rsidRPr="00884481" w:rsidRDefault="00E6355C" w:rsidP="00884481">
      <w:pPr>
        <w:rPr>
          <w:rFonts w:ascii="Calibri" w:hAnsi="Calibri" w:cs="Calibri"/>
          <w:b/>
          <w:bCs/>
          <w:sz w:val="36"/>
          <w:szCs w:val="36"/>
        </w:rPr>
      </w:pPr>
      <w:r w:rsidRPr="00884481">
        <w:rPr>
          <w:rFonts w:ascii="Calibri" w:hAnsi="Calibri" w:cs="Calibri"/>
          <w:b/>
          <w:bCs/>
          <w:sz w:val="36"/>
          <w:szCs w:val="36"/>
        </w:rPr>
        <w:t xml:space="preserve">CDC Guidance on </w:t>
      </w:r>
      <w:r w:rsidR="00884481">
        <w:rPr>
          <w:rFonts w:ascii="Calibri" w:hAnsi="Calibri" w:cs="Calibri"/>
          <w:b/>
          <w:bCs/>
          <w:sz w:val="36"/>
          <w:szCs w:val="36"/>
        </w:rPr>
        <w:t>W</w:t>
      </w:r>
      <w:r w:rsidRPr="00884481">
        <w:rPr>
          <w:rFonts w:ascii="Calibri" w:hAnsi="Calibri" w:cs="Calibri"/>
          <w:b/>
          <w:bCs/>
          <w:sz w:val="36"/>
          <w:szCs w:val="36"/>
        </w:rPr>
        <w:t>hen H</w:t>
      </w:r>
      <w:bookmarkStart w:id="0" w:name="_GoBack"/>
      <w:bookmarkEnd w:id="0"/>
      <w:r w:rsidRPr="00884481">
        <w:rPr>
          <w:rFonts w:ascii="Calibri" w:hAnsi="Calibri" w:cs="Calibri"/>
          <w:b/>
          <w:bCs/>
          <w:sz w:val="36"/>
          <w:szCs w:val="36"/>
        </w:rPr>
        <w:t>ealth Care Personnel Can Return to Work</w:t>
      </w:r>
      <w:r w:rsidR="00884481">
        <w:rPr>
          <w:rFonts w:ascii="Calibri" w:hAnsi="Calibri" w:cs="Calibri"/>
          <w:b/>
          <w:bCs/>
          <w:sz w:val="36"/>
          <w:szCs w:val="36"/>
        </w:rPr>
        <w:t xml:space="preserve"> </w:t>
      </w:r>
      <w:r w:rsidR="00884481" w:rsidRPr="00884481">
        <w:rPr>
          <w:rFonts w:ascii="Calibri" w:hAnsi="Calibri" w:cs="Calibri"/>
          <w:b/>
          <w:bCs/>
          <w:sz w:val="36"/>
          <w:szCs w:val="36"/>
        </w:rPr>
        <w:t xml:space="preserve">- </w:t>
      </w:r>
      <w:r w:rsidRPr="00884481">
        <w:rPr>
          <w:rFonts w:ascii="Calibri" w:hAnsi="Calibri" w:cs="Calibri"/>
          <w:b/>
          <w:bCs/>
          <w:sz w:val="36"/>
          <w:szCs w:val="36"/>
        </w:rPr>
        <w:t>3/20/2020</w:t>
      </w:r>
    </w:p>
    <w:p w14:paraId="791F1F2D" w14:textId="5599010C" w:rsidR="00E6355C" w:rsidRPr="00884481" w:rsidRDefault="00E6355C" w:rsidP="00884481">
      <w:pPr>
        <w:rPr>
          <w:rFonts w:ascii="Calibri" w:eastAsia="Times New Roman" w:hAnsi="Calibri" w:cs="Calibri"/>
          <w:sz w:val="24"/>
          <w:szCs w:val="24"/>
        </w:rPr>
      </w:pPr>
      <w:r w:rsidRPr="00884481">
        <w:rPr>
          <w:rFonts w:ascii="Calibri" w:eastAsia="Times New Roman" w:hAnsi="Calibri" w:cs="Calibri"/>
          <w:sz w:val="24"/>
          <w:szCs w:val="24"/>
        </w:rPr>
        <w:t xml:space="preserve">Many IHCA members are asking when a staff person who is staying home because of fever or respiratory symptoms can return to work. CDC posted </w:t>
      </w:r>
      <w:hyperlink r:id="rId9" w:tooltip="guidance" w:history="1">
        <w:r w:rsidRPr="00884481">
          <w:rPr>
            <w:rStyle w:val="Hyperlink"/>
            <w:rFonts w:ascii="Calibri" w:eastAsia="Times New Roman" w:hAnsi="Calibri" w:cs="Calibri"/>
            <w:color w:val="2E74B5" w:themeColor="accent5" w:themeShade="BF"/>
            <w:sz w:val="24"/>
            <w:szCs w:val="24"/>
          </w:rPr>
          <w:t>guidance</w:t>
        </w:r>
      </w:hyperlink>
      <w:r w:rsidRPr="00884481">
        <w:rPr>
          <w:rFonts w:ascii="Calibri" w:eastAsia="Times New Roman" w:hAnsi="Calibri" w:cs="Calibri"/>
          <w:color w:val="2E74B5" w:themeColor="accent5" w:themeShade="BF"/>
          <w:sz w:val="24"/>
          <w:szCs w:val="24"/>
        </w:rPr>
        <w:t xml:space="preserve"> </w:t>
      </w:r>
      <w:r w:rsidRPr="00884481">
        <w:rPr>
          <w:rFonts w:ascii="Calibri" w:eastAsia="Times New Roman" w:hAnsi="Calibri" w:cs="Calibri"/>
          <w:sz w:val="24"/>
          <w:szCs w:val="24"/>
        </w:rPr>
        <w:t>from March 16, 2020 on criteria for return to work. Use one of the below strategies to determine when health care personnel (HCP) may return to work in health care settings: </w:t>
      </w:r>
    </w:p>
    <w:p w14:paraId="39FC0539" w14:textId="77777777" w:rsidR="00E6355C" w:rsidRPr="00884481" w:rsidRDefault="00E6355C" w:rsidP="00884481">
      <w:pPr>
        <w:numPr>
          <w:ilvl w:val="0"/>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i/>
          <w:iCs/>
          <w:sz w:val="24"/>
          <w:szCs w:val="24"/>
        </w:rPr>
        <w:t>Non-test-based strategy.</w:t>
      </w:r>
      <w:r w:rsidRPr="00884481">
        <w:rPr>
          <w:rFonts w:ascii="Calibri" w:eastAsia="Times New Roman" w:hAnsi="Calibri" w:cs="Calibri"/>
          <w:sz w:val="24"/>
          <w:szCs w:val="24"/>
        </w:rPr>
        <w:t xml:space="preserve"> Exclude from work until: </w:t>
      </w:r>
    </w:p>
    <w:p w14:paraId="1461298F" w14:textId="77777777" w:rsidR="00E6355C" w:rsidRPr="00884481" w:rsidRDefault="00E6355C" w:rsidP="00884481">
      <w:pPr>
        <w:numPr>
          <w:ilvl w:val="1"/>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sz w:val="24"/>
          <w:szCs w:val="24"/>
        </w:rPr>
        <w:t>At least 3 days (72 hours) have passed</w:t>
      </w:r>
      <w:r w:rsidRPr="00884481">
        <w:rPr>
          <w:rFonts w:ascii="Calibri" w:eastAsia="Times New Roman" w:hAnsi="Calibri" w:cs="Calibri"/>
          <w:i/>
          <w:iCs/>
          <w:sz w:val="24"/>
          <w:szCs w:val="24"/>
        </w:rPr>
        <w:t> since recovery</w:t>
      </w:r>
      <w:r w:rsidRPr="00884481">
        <w:rPr>
          <w:rFonts w:ascii="Calibri" w:eastAsia="Times New Roman" w:hAnsi="Calibri" w:cs="Calibri"/>
          <w:sz w:val="24"/>
          <w:szCs w:val="24"/>
        </w:rPr>
        <w:t>, defined as resolution of fever without the use of fever-reducing medications</w:t>
      </w:r>
      <w:r w:rsidRPr="00884481">
        <w:rPr>
          <w:rFonts w:ascii="Calibri" w:eastAsia="Times New Roman" w:hAnsi="Calibri" w:cs="Calibri"/>
          <w:b/>
          <w:bCs/>
          <w:sz w:val="24"/>
          <w:szCs w:val="24"/>
        </w:rPr>
        <w:t> and</w:t>
      </w:r>
      <w:r w:rsidRPr="00884481">
        <w:rPr>
          <w:rFonts w:ascii="Calibri" w:eastAsia="Times New Roman" w:hAnsi="Calibri" w:cs="Calibri"/>
          <w:sz w:val="24"/>
          <w:szCs w:val="24"/>
        </w:rPr>
        <w:t> improvement in respiratory symptoms (e.g., cough, shortness of breath);</w:t>
      </w:r>
      <w:r w:rsidRPr="00884481">
        <w:rPr>
          <w:rFonts w:ascii="Calibri" w:eastAsia="Times New Roman" w:hAnsi="Calibri" w:cs="Calibri"/>
          <w:b/>
          <w:bCs/>
          <w:sz w:val="24"/>
          <w:szCs w:val="24"/>
        </w:rPr>
        <w:t> and</w:t>
      </w:r>
      <w:r w:rsidRPr="00884481">
        <w:rPr>
          <w:rFonts w:ascii="Calibri" w:eastAsia="Times New Roman" w:hAnsi="Calibri" w:cs="Calibri"/>
          <w:sz w:val="24"/>
          <w:szCs w:val="24"/>
        </w:rPr>
        <w:t>, </w:t>
      </w:r>
    </w:p>
    <w:p w14:paraId="6E842239" w14:textId="4537F422" w:rsidR="00E6355C" w:rsidRPr="00884481" w:rsidRDefault="00E6355C" w:rsidP="00884481">
      <w:pPr>
        <w:numPr>
          <w:ilvl w:val="1"/>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sz w:val="24"/>
          <w:szCs w:val="24"/>
        </w:rPr>
        <w:t> At least 7 days have passed </w:t>
      </w:r>
      <w:r w:rsidRPr="00884481">
        <w:rPr>
          <w:rFonts w:ascii="Calibri" w:eastAsia="Times New Roman" w:hAnsi="Calibri" w:cs="Calibri"/>
          <w:i/>
          <w:iCs/>
          <w:sz w:val="24"/>
          <w:szCs w:val="24"/>
        </w:rPr>
        <w:t>since symptoms first appeared </w:t>
      </w:r>
      <w:r w:rsidR="00D10D3B">
        <w:rPr>
          <w:rFonts w:ascii="Calibri" w:eastAsia="Times New Roman" w:hAnsi="Calibri" w:cs="Calibri"/>
          <w:i/>
          <w:iCs/>
          <w:sz w:val="24"/>
          <w:szCs w:val="24"/>
        </w:rPr>
        <w:br/>
      </w:r>
    </w:p>
    <w:p w14:paraId="5E21C54A" w14:textId="77777777" w:rsidR="00E6355C" w:rsidRPr="00884481" w:rsidRDefault="00E6355C" w:rsidP="00884481">
      <w:pPr>
        <w:numPr>
          <w:ilvl w:val="0"/>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i/>
          <w:iCs/>
          <w:sz w:val="24"/>
          <w:szCs w:val="24"/>
        </w:rPr>
        <w:t>Test-based strategy, if tests are available. </w:t>
      </w:r>
      <w:r w:rsidRPr="00884481">
        <w:rPr>
          <w:rFonts w:ascii="Calibri" w:eastAsia="Times New Roman" w:hAnsi="Calibri" w:cs="Calibri"/>
          <w:sz w:val="24"/>
          <w:szCs w:val="24"/>
        </w:rPr>
        <w:t>Exclude from work until: </w:t>
      </w:r>
    </w:p>
    <w:p w14:paraId="509A86F7" w14:textId="77777777" w:rsidR="00E6355C" w:rsidRPr="00884481" w:rsidRDefault="00E6355C" w:rsidP="00884481">
      <w:pPr>
        <w:numPr>
          <w:ilvl w:val="1"/>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sz w:val="24"/>
          <w:szCs w:val="24"/>
        </w:rPr>
        <w:t>Resolution of fever without the use of fever-reducing medications</w:t>
      </w:r>
      <w:r w:rsidRPr="00884481">
        <w:rPr>
          <w:rFonts w:ascii="Calibri" w:eastAsia="Times New Roman" w:hAnsi="Calibri" w:cs="Calibri"/>
          <w:b/>
          <w:bCs/>
          <w:sz w:val="24"/>
          <w:szCs w:val="24"/>
        </w:rPr>
        <w:t> and </w:t>
      </w:r>
    </w:p>
    <w:p w14:paraId="53389ED3" w14:textId="77777777" w:rsidR="00E6355C" w:rsidRPr="00884481" w:rsidRDefault="00E6355C" w:rsidP="00884481">
      <w:pPr>
        <w:numPr>
          <w:ilvl w:val="1"/>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sz w:val="24"/>
          <w:szCs w:val="24"/>
        </w:rPr>
        <w:t>Improvement in respiratory symptoms (e.g., cough, shortness of breath),</w:t>
      </w:r>
      <w:r w:rsidRPr="00884481">
        <w:rPr>
          <w:rFonts w:ascii="Calibri" w:eastAsia="Times New Roman" w:hAnsi="Calibri" w:cs="Calibri"/>
          <w:b/>
          <w:bCs/>
          <w:sz w:val="24"/>
          <w:szCs w:val="24"/>
        </w:rPr>
        <w:t> and</w:t>
      </w:r>
    </w:p>
    <w:p w14:paraId="3E31F079" w14:textId="77777777" w:rsidR="00E6355C" w:rsidRPr="00884481" w:rsidRDefault="00E6355C" w:rsidP="00884481">
      <w:pPr>
        <w:numPr>
          <w:ilvl w:val="1"/>
          <w:numId w:val="1"/>
        </w:numPr>
        <w:spacing w:before="100" w:beforeAutospacing="1" w:after="100" w:afterAutospacing="1" w:line="240" w:lineRule="auto"/>
        <w:rPr>
          <w:rFonts w:ascii="Calibri" w:eastAsia="Times New Roman" w:hAnsi="Calibri" w:cs="Calibri"/>
          <w:sz w:val="24"/>
          <w:szCs w:val="24"/>
        </w:rPr>
      </w:pPr>
      <w:r w:rsidRPr="00884481">
        <w:rPr>
          <w:rFonts w:ascii="Calibri" w:eastAsia="Times New Roman" w:hAnsi="Calibri" w:cs="Calibri"/>
          <w:sz w:val="24"/>
          <w:szCs w:val="24"/>
        </w:rPr>
        <w:t>Negative results of an FDA Emergency Use Authorized molecular assay for COVID-19 from at least two consecutive nasopharyngeal swab specimens collected ≥24 hours apart (total of two negative specimens) </w:t>
      </w:r>
    </w:p>
    <w:p w14:paraId="35FD3EDF" w14:textId="77777777" w:rsidR="00E6355C" w:rsidRPr="00884481" w:rsidRDefault="00E6355C" w:rsidP="00884481">
      <w:pPr>
        <w:rPr>
          <w:rFonts w:ascii="Calibri" w:eastAsia="Times New Roman" w:hAnsi="Calibri" w:cs="Calibri"/>
          <w:b/>
          <w:bCs/>
          <w:sz w:val="24"/>
          <w:szCs w:val="24"/>
        </w:rPr>
      </w:pPr>
      <w:r w:rsidRPr="00884481">
        <w:rPr>
          <w:rFonts w:ascii="Calibri" w:eastAsia="Times New Roman" w:hAnsi="Calibri" w:cs="Calibri"/>
          <w:b/>
          <w:bCs/>
          <w:sz w:val="24"/>
          <w:szCs w:val="24"/>
        </w:rPr>
        <w:t xml:space="preserve">If HCP were never tested for COVID-19 but have an alternate diagnosis (e.g., tested positive for influenza), criteria for return to work should be based on that diagnosis. </w:t>
      </w:r>
    </w:p>
    <w:p w14:paraId="645E34B9" w14:textId="55556B6C" w:rsidR="00E6355C" w:rsidRPr="00884481" w:rsidRDefault="00E6355C" w:rsidP="00884481">
      <w:pPr>
        <w:rPr>
          <w:rFonts w:ascii="Calibri" w:eastAsia="Times New Roman" w:hAnsi="Calibri" w:cs="Calibri"/>
          <w:sz w:val="24"/>
          <w:szCs w:val="24"/>
        </w:rPr>
      </w:pPr>
      <w:r w:rsidRPr="00884481">
        <w:rPr>
          <w:rFonts w:ascii="Calibri" w:eastAsia="Times New Roman" w:hAnsi="Calibri" w:cs="Calibri"/>
          <w:b/>
          <w:bCs/>
          <w:sz w:val="24"/>
          <w:szCs w:val="24"/>
        </w:rPr>
        <w:t xml:space="preserve">Please read the entire guidance posted on the </w:t>
      </w:r>
      <w:hyperlink r:id="rId10" w:history="1">
        <w:r w:rsidRPr="00884481">
          <w:rPr>
            <w:rStyle w:val="Hyperlink"/>
            <w:rFonts w:ascii="Calibri" w:eastAsia="Times New Roman" w:hAnsi="Calibri" w:cs="Calibri"/>
            <w:sz w:val="24"/>
            <w:szCs w:val="24"/>
          </w:rPr>
          <w:t>CDC page dated March 16, 2020.</w:t>
        </w:r>
      </w:hyperlink>
      <w:r w:rsidRPr="00884481">
        <w:rPr>
          <w:rFonts w:ascii="Calibri" w:eastAsia="Times New Roman" w:hAnsi="Calibri" w:cs="Calibri"/>
          <w:sz w:val="24"/>
          <w:szCs w:val="24"/>
        </w:rPr>
        <w:t xml:space="preserve"> </w:t>
      </w:r>
    </w:p>
    <w:p w14:paraId="49C7A21F" w14:textId="77777777" w:rsidR="00E6355C" w:rsidRPr="00884481" w:rsidRDefault="00E6355C" w:rsidP="00884481">
      <w:pPr>
        <w:rPr>
          <w:rFonts w:ascii="Calibri" w:eastAsia="Times New Roman" w:hAnsi="Calibri" w:cs="Calibri"/>
          <w:sz w:val="24"/>
          <w:szCs w:val="24"/>
        </w:rPr>
      </w:pPr>
    </w:p>
    <w:p w14:paraId="21D40F0E" w14:textId="0D198E21" w:rsidR="00E6355C" w:rsidRPr="00884481" w:rsidRDefault="00E6355C" w:rsidP="00884481">
      <w:pPr>
        <w:rPr>
          <w:rFonts w:ascii="Calibri" w:hAnsi="Calibri" w:cs="Calibri"/>
          <w:sz w:val="28"/>
          <w:szCs w:val="28"/>
        </w:rPr>
      </w:pPr>
      <w:r w:rsidRPr="00884481">
        <w:rPr>
          <w:rFonts w:ascii="Calibri" w:eastAsia="Times New Roman" w:hAnsi="Calibri" w:cs="Calibri"/>
          <w:sz w:val="24"/>
          <w:szCs w:val="24"/>
        </w:rPr>
        <w:br/>
      </w:r>
    </w:p>
    <w:sectPr w:rsidR="00E6355C" w:rsidRPr="00884481" w:rsidSect="00884481">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65B2"/>
    <w:multiLevelType w:val="multilevel"/>
    <w:tmpl w:val="5950B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5C"/>
    <w:rsid w:val="00884481"/>
    <w:rsid w:val="0089442A"/>
    <w:rsid w:val="00D10D3B"/>
    <w:rsid w:val="00E6355C"/>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5D64"/>
  <w15:chartTrackingRefBased/>
  <w15:docId w15:val="{A08BE053-1816-462C-B03E-89A3FE6C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55C"/>
    <w:rPr>
      <w:color w:val="0000FF"/>
      <w:u w:val="single"/>
    </w:rPr>
  </w:style>
  <w:style w:type="character" w:styleId="UnresolvedMention">
    <w:name w:val="Unresolved Mention"/>
    <w:basedOn w:val="DefaultParagraphFont"/>
    <w:uiPriority w:val="99"/>
    <w:semiHidden/>
    <w:unhideWhenUsed/>
    <w:rsid w:val="00E6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owahealthcare.org/member-resources/emergency-preparedness/infection-control-resources/" TargetMode="External"/><Relationship Id="rId4" Type="http://schemas.openxmlformats.org/officeDocument/2006/relationships/numbering" Target="numbering.xml"/><Relationship Id="rId9" Type="http://schemas.openxmlformats.org/officeDocument/2006/relationships/hyperlink" Target="https://cl.exct.net/?qs=178af6ad60c65646f5a8e6f7a34bd0c79925c5c048e06233f46454d1e0fb2505d2906002740dbd71183295da7da4cc6493cf120fc5a1f9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46525F39AB743AA6D2F52E07AC0A8" ma:contentTypeVersion="5" ma:contentTypeDescription="Create a new document." ma:contentTypeScope="" ma:versionID="9dedd3d189a56e968af7f82cbc318447">
  <xsd:schema xmlns:xsd="http://www.w3.org/2001/XMLSchema" xmlns:xs="http://www.w3.org/2001/XMLSchema" xmlns:p="http://schemas.microsoft.com/office/2006/metadata/properties" xmlns:ns3="1158e9cc-5d00-43a8-acae-e1c5c7585c7d" xmlns:ns4="a2249634-ac3d-480e-b778-93c397d7ad78" targetNamespace="http://schemas.microsoft.com/office/2006/metadata/properties" ma:root="true" ma:fieldsID="e5ae81587bee025c1de8aa55b2798688" ns3:_="" ns4:_="">
    <xsd:import namespace="1158e9cc-5d00-43a8-acae-e1c5c7585c7d"/>
    <xsd:import namespace="a2249634-ac3d-480e-b778-93c397d7ad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8e9cc-5d00-43a8-acae-e1c5c7585c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49634-ac3d-480e-b778-93c397d7a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2C815-9B9E-490F-982E-6402D2189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8e9cc-5d00-43a8-acae-e1c5c7585c7d"/>
    <ds:schemaRef ds:uri="a2249634-ac3d-480e-b778-93c397d7a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4E78E-D765-4434-BBE9-7A4491D8EDD1}">
  <ds:schemaRefs>
    <ds:schemaRef ds:uri="http://schemas.microsoft.com/sharepoint/v3/contenttype/forms"/>
  </ds:schemaRefs>
</ds:datastoreItem>
</file>

<file path=customXml/itemProps3.xml><?xml version="1.0" encoding="utf-8"?>
<ds:datastoreItem xmlns:ds="http://schemas.openxmlformats.org/officeDocument/2006/customXml" ds:itemID="{FA3E8566-2CB1-403E-805C-EFC2CCB6237F}">
  <ds:schemaRefs>
    <ds:schemaRef ds:uri="http://schemas.microsoft.com/office/2006/metadata/properties"/>
    <ds:schemaRef ds:uri="http://schemas.microsoft.com/office/2006/documentManagement/types"/>
    <ds:schemaRef ds:uri="http://purl.org/dc/terms/"/>
    <ds:schemaRef ds:uri="1158e9cc-5d00-43a8-acae-e1c5c7585c7d"/>
    <ds:schemaRef ds:uri="http://purl.org/dc/elements/1.1/"/>
    <ds:schemaRef ds:uri="http://www.w3.org/XML/1998/namespace"/>
    <ds:schemaRef ds:uri="http://schemas.microsoft.com/office/infopath/2007/PartnerControls"/>
    <ds:schemaRef ds:uri="http://schemas.openxmlformats.org/package/2006/metadata/core-properties"/>
    <ds:schemaRef ds:uri="a2249634-ac3d-480e-b778-93c397d7ad7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Carothers</dc:creator>
  <cp:keywords/>
  <dc:description/>
  <cp:lastModifiedBy>Lori Ristau</cp:lastModifiedBy>
  <cp:revision>4</cp:revision>
  <dcterms:created xsi:type="dcterms:W3CDTF">2020-03-19T19:56:00Z</dcterms:created>
  <dcterms:modified xsi:type="dcterms:W3CDTF">2020-03-20T18:57:00Z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0x010100F1D46525F39AB743AA6D2F52E07AC0A8</vt:lpwstr>
  </property>
</Properties>
</file>